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51DB" w14:textId="7590C6A2" w:rsidR="00B661B7" w:rsidRPr="00CD4B2E" w:rsidRDefault="008028C1" w:rsidP="00CD4B2E">
      <w:pPr>
        <w:keepNext/>
        <w:keepLines/>
        <w:jc w:val="both"/>
        <w:rPr>
          <w:sz w:val="16"/>
        </w:rPr>
      </w:pPr>
      <w:r>
        <w:rPr>
          <w:b/>
          <w:u w:val="single"/>
        </w:rPr>
        <w:t>MANUFACT</w:t>
      </w:r>
      <w:r w:rsidR="00C13BFF">
        <w:rPr>
          <w:b/>
          <w:u w:val="single"/>
        </w:rPr>
        <w:t>U</w:t>
      </w:r>
      <w:r>
        <w:rPr>
          <w:b/>
          <w:u w:val="single"/>
        </w:rPr>
        <w:t xml:space="preserve">RED </w:t>
      </w:r>
      <w:r w:rsidR="00C66DBD">
        <w:rPr>
          <w:b/>
          <w:u w:val="single"/>
        </w:rPr>
        <w:t xml:space="preserve">QUARRY </w:t>
      </w:r>
      <w:r w:rsidR="002A1C48">
        <w:rPr>
          <w:b/>
          <w:u w:val="single"/>
        </w:rPr>
        <w:t xml:space="preserve">FINES </w:t>
      </w:r>
      <w:r w:rsidR="00B661B7">
        <w:rPr>
          <w:b/>
          <w:u w:val="single"/>
        </w:rPr>
        <w:t>IN EMBANKMENTS: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53E4C" w:rsidRPr="00453E4C" w14:paraId="6E707E68" w14:textId="77777777" w:rsidTr="00416AD2">
        <w:tc>
          <w:tcPr>
            <w:tcW w:w="3192" w:type="dxa"/>
          </w:tcPr>
          <w:p w14:paraId="6360201D" w14:textId="22A5631F" w:rsidR="00453E4C" w:rsidRPr="00CD4B2E" w:rsidRDefault="002A1C48" w:rsidP="0005376D">
            <w:pPr>
              <w:keepNext/>
              <w:keepLines/>
              <w:jc w:val="both"/>
              <w:rPr>
                <w:color w:val="auto"/>
                <w:sz w:val="16"/>
              </w:rPr>
            </w:pPr>
            <w:r>
              <w:rPr>
                <w:sz w:val="16"/>
              </w:rPr>
              <w:t>(</w:t>
            </w:r>
            <w:r w:rsidR="00D1607E">
              <w:rPr>
                <w:sz w:val="16"/>
              </w:rPr>
              <w:t>0</w:t>
            </w:r>
            <w:r w:rsidR="0005376D">
              <w:rPr>
                <w:sz w:val="16"/>
              </w:rPr>
              <w:t>1</w:t>
            </w:r>
            <w:r>
              <w:rPr>
                <w:sz w:val="16"/>
              </w:rPr>
              <w:t>-</w:t>
            </w:r>
            <w:r w:rsidR="0005376D">
              <w:rPr>
                <w:sz w:val="16"/>
              </w:rPr>
              <w:t>17</w:t>
            </w:r>
            <w:r>
              <w:rPr>
                <w:sz w:val="16"/>
              </w:rPr>
              <w:t>-1</w:t>
            </w:r>
            <w:r w:rsidR="0005376D">
              <w:rPr>
                <w:sz w:val="16"/>
              </w:rPr>
              <w:t>7</w:t>
            </w:r>
            <w:r>
              <w:rPr>
                <w:sz w:val="16"/>
              </w:rPr>
              <w:t>)</w:t>
            </w:r>
            <w:r w:rsidR="00412C3F">
              <w:rPr>
                <w:sz w:val="16"/>
              </w:rPr>
              <w:t xml:space="preserve">(Rev. </w:t>
            </w:r>
            <w:r w:rsidR="00455960">
              <w:rPr>
                <w:sz w:val="16"/>
              </w:rPr>
              <w:t>4</w:t>
            </w:r>
            <w:r w:rsidR="00412C3F">
              <w:rPr>
                <w:sz w:val="16"/>
              </w:rPr>
              <w:t>-</w:t>
            </w:r>
            <w:r w:rsidR="00455960">
              <w:rPr>
                <w:sz w:val="16"/>
              </w:rPr>
              <w:t>16</w:t>
            </w:r>
            <w:r w:rsidR="00412C3F">
              <w:rPr>
                <w:sz w:val="16"/>
              </w:rPr>
              <w:t>-</w:t>
            </w:r>
            <w:r w:rsidR="00912005">
              <w:rPr>
                <w:sz w:val="16"/>
              </w:rPr>
              <w:t>24</w:t>
            </w:r>
            <w:r w:rsidR="00412C3F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9BCE58D" w14:textId="77777777" w:rsidR="00453E4C" w:rsidRPr="00CD4B2E" w:rsidRDefault="00453E4C" w:rsidP="00453E4C">
            <w:pPr>
              <w:keepNext/>
              <w:keepLines/>
              <w:jc w:val="center"/>
              <w:rPr>
                <w:color w:val="auto"/>
                <w:sz w:val="16"/>
              </w:rPr>
            </w:pPr>
            <w:r w:rsidRPr="00CD4B2E">
              <w:rPr>
                <w:color w:val="auto"/>
                <w:sz w:val="16"/>
              </w:rPr>
              <w:t>235</w:t>
            </w:r>
          </w:p>
        </w:tc>
        <w:tc>
          <w:tcPr>
            <w:tcW w:w="3192" w:type="dxa"/>
          </w:tcPr>
          <w:p w14:paraId="5EBF5D70" w14:textId="15E1C453" w:rsidR="00453E4C" w:rsidRPr="00CD4B2E" w:rsidRDefault="002A1C48" w:rsidP="00CF6FED">
            <w:pPr>
              <w:keepNext/>
              <w:keepLines/>
              <w:jc w:val="right"/>
              <w:rPr>
                <w:color w:val="auto"/>
                <w:sz w:val="16"/>
              </w:rPr>
            </w:pPr>
            <w:r>
              <w:rPr>
                <w:sz w:val="16"/>
              </w:rPr>
              <w:t>SP</w:t>
            </w:r>
            <w:r w:rsidR="00CF6FED">
              <w:rPr>
                <w:sz w:val="16"/>
              </w:rPr>
              <w:t>02</w:t>
            </w:r>
            <w:r>
              <w:rPr>
                <w:sz w:val="16"/>
              </w:rPr>
              <w:t xml:space="preserve"> R</w:t>
            </w:r>
            <w:r w:rsidR="00CF6FED">
              <w:rPr>
                <w:sz w:val="16"/>
              </w:rPr>
              <w:t>72</w:t>
            </w:r>
          </w:p>
        </w:tc>
      </w:tr>
    </w:tbl>
    <w:p w14:paraId="6CAE4B1F" w14:textId="77777777" w:rsidR="00B661B7" w:rsidRDefault="00B661B7" w:rsidP="001F7FBA">
      <w:pPr>
        <w:keepNext/>
        <w:keepLines/>
        <w:jc w:val="both"/>
        <w:rPr>
          <w:sz w:val="16"/>
        </w:rPr>
      </w:pPr>
    </w:p>
    <w:p w14:paraId="7584E177" w14:textId="77777777" w:rsidR="00E01C51" w:rsidRPr="00CD4B2E" w:rsidRDefault="00E01C51" w:rsidP="00E01C51">
      <w:pPr>
        <w:keepNext/>
        <w:keepLines/>
        <w:jc w:val="both"/>
        <w:rPr>
          <w:b/>
          <w:color w:val="auto"/>
        </w:rPr>
      </w:pPr>
      <w:r w:rsidRPr="00CD4B2E">
        <w:rPr>
          <w:b/>
          <w:color w:val="auto"/>
        </w:rPr>
        <w:t>Description</w:t>
      </w:r>
    </w:p>
    <w:p w14:paraId="7C4F4C0F" w14:textId="77777777" w:rsidR="00407766" w:rsidRDefault="00407766" w:rsidP="00407766">
      <w:pPr>
        <w:widowControl w:val="0"/>
        <w:jc w:val="both"/>
      </w:pPr>
    </w:p>
    <w:p w14:paraId="5028CB72" w14:textId="3E0970BC" w:rsidR="00792B6F" w:rsidRDefault="008028C1" w:rsidP="00407766">
      <w:pPr>
        <w:widowControl w:val="0"/>
        <w:jc w:val="both"/>
        <w:rPr>
          <w:szCs w:val="24"/>
        </w:rPr>
      </w:pPr>
      <w:r>
        <w:t xml:space="preserve">This specification addresses the use of manufactured quarry fines that are not classified as select materials. The </w:t>
      </w:r>
      <w:r w:rsidR="00CA10BC">
        <w:t>specification allows the C</w:t>
      </w:r>
      <w:r w:rsidR="00B661B7">
        <w:t xml:space="preserve">ontractor an option, with the approval of the Engineer, to use </w:t>
      </w:r>
      <w:r>
        <w:t xml:space="preserve">manufactured </w:t>
      </w:r>
      <w:r w:rsidR="002A1C48">
        <w:t>quarry fines</w:t>
      </w:r>
      <w:r w:rsidR="00AB5971">
        <w:t xml:space="preserve"> </w:t>
      </w:r>
      <w:r w:rsidR="00B03F26">
        <w:t>(</w:t>
      </w:r>
      <w:r>
        <w:t>MQF</w:t>
      </w:r>
      <w:r w:rsidR="00B03F26">
        <w:t xml:space="preserve">s) </w:t>
      </w:r>
      <w:r w:rsidR="00B661B7">
        <w:t>in embankments as a substitute for conventional borrow material.</w:t>
      </w:r>
      <w:r w:rsidR="00EA37A5">
        <w:t xml:space="preserve"> </w:t>
      </w:r>
      <w:r w:rsidR="00792B6F">
        <w:rPr>
          <w:szCs w:val="24"/>
        </w:rPr>
        <w:t xml:space="preserve">Furnish and place geotextile for </w:t>
      </w:r>
      <w:r w:rsidR="009A3645">
        <w:rPr>
          <w:szCs w:val="24"/>
        </w:rPr>
        <w:t xml:space="preserve">subgrade </w:t>
      </w:r>
      <w:r w:rsidR="00792B6F">
        <w:rPr>
          <w:szCs w:val="24"/>
        </w:rPr>
        <w:t xml:space="preserve">stabilization in accordance with the </w:t>
      </w:r>
      <w:r w:rsidR="00F910C0">
        <w:t>contract</w:t>
      </w:r>
      <w:r w:rsidR="00792B6F">
        <w:rPr>
          <w:szCs w:val="24"/>
        </w:rPr>
        <w:t xml:space="preserve">.  Geotextile for </w:t>
      </w:r>
      <w:r w:rsidR="009A3645">
        <w:rPr>
          <w:szCs w:val="24"/>
        </w:rPr>
        <w:t xml:space="preserve">subgrade </w:t>
      </w:r>
      <w:r w:rsidR="00792B6F">
        <w:rPr>
          <w:szCs w:val="24"/>
        </w:rPr>
        <w:t xml:space="preserve">stabilization is required to prevent pavement cracking and provide separation between the subgrade and pavement section at embankment locations where </w:t>
      </w:r>
      <w:r w:rsidRPr="008028C1">
        <w:rPr>
          <w:szCs w:val="24"/>
        </w:rPr>
        <w:t xml:space="preserve">manufactured </w:t>
      </w:r>
      <w:r w:rsidR="00792B6F">
        <w:rPr>
          <w:szCs w:val="24"/>
        </w:rPr>
        <w:t>quarry fines are utilized and as directed by the Engineer.</w:t>
      </w:r>
    </w:p>
    <w:p w14:paraId="621DFBDA" w14:textId="77777777" w:rsidR="00407766" w:rsidRPr="005D3D48" w:rsidRDefault="00407766" w:rsidP="00407766">
      <w:pPr>
        <w:widowControl w:val="0"/>
        <w:jc w:val="both"/>
        <w:rPr>
          <w:szCs w:val="24"/>
        </w:rPr>
      </w:pPr>
    </w:p>
    <w:p w14:paraId="648FC82F" w14:textId="77777777" w:rsidR="0011226F" w:rsidRPr="00E01C51" w:rsidRDefault="0011226F" w:rsidP="0011226F">
      <w:pPr>
        <w:keepNext/>
        <w:keepLines/>
        <w:jc w:val="both"/>
        <w:rPr>
          <w:b/>
          <w:color w:val="auto"/>
        </w:rPr>
      </w:pPr>
      <w:r w:rsidRPr="00E01C51">
        <w:rPr>
          <w:b/>
          <w:color w:val="auto"/>
        </w:rPr>
        <w:t>Materials</w:t>
      </w:r>
    </w:p>
    <w:p w14:paraId="2187BC68" w14:textId="77777777" w:rsidR="00407766" w:rsidRDefault="00407766" w:rsidP="00407766">
      <w:pPr>
        <w:widowControl w:val="0"/>
        <w:jc w:val="both"/>
        <w:rPr>
          <w:szCs w:val="24"/>
        </w:rPr>
      </w:pPr>
    </w:p>
    <w:p w14:paraId="732C682F" w14:textId="71FA11BF" w:rsidR="00E56740" w:rsidRDefault="00C13BFF" w:rsidP="00407766">
      <w:pPr>
        <w:widowControl w:val="0"/>
        <w:jc w:val="both"/>
        <w:rPr>
          <w:szCs w:val="24"/>
        </w:rPr>
      </w:pPr>
      <w:r>
        <w:rPr>
          <w:szCs w:val="24"/>
        </w:rPr>
        <w:t xml:space="preserve">Manufactured </w:t>
      </w:r>
      <w:r w:rsidR="00E56740">
        <w:rPr>
          <w:szCs w:val="24"/>
        </w:rPr>
        <w:t>Quarry Fines.</w:t>
      </w:r>
    </w:p>
    <w:p w14:paraId="28C9F436" w14:textId="77777777" w:rsidR="00407766" w:rsidRPr="00960212" w:rsidRDefault="00407766" w:rsidP="00407766">
      <w:pPr>
        <w:widowControl w:val="0"/>
        <w:jc w:val="both"/>
        <w:rPr>
          <w:szCs w:val="24"/>
        </w:rPr>
      </w:pPr>
    </w:p>
    <w:p w14:paraId="390A1BF7" w14:textId="047FD349" w:rsidR="0011226F" w:rsidRDefault="0011226F" w:rsidP="0011226F">
      <w:pPr>
        <w:jc w:val="both"/>
      </w:pPr>
      <w:r>
        <w:t xml:space="preserve">Site specific approval of </w:t>
      </w:r>
      <w:r w:rsidR="008028C1">
        <w:t>MQF</w:t>
      </w:r>
      <w:r w:rsidR="00194602" w:rsidRPr="00194602">
        <w:t>s</w:t>
      </w:r>
      <w:r>
        <w:t xml:space="preserve"> material will be required prior to beginning construction</w:t>
      </w:r>
      <w:r w:rsidR="00941376">
        <w:t xml:space="preserve"> as detailed in the preconstruction requirements of this provision</w:t>
      </w:r>
      <w:r>
        <w:t>.</w:t>
      </w:r>
    </w:p>
    <w:p w14:paraId="53DFA261" w14:textId="77777777" w:rsidR="0011226F" w:rsidRDefault="0011226F" w:rsidP="0011226F">
      <w:pPr>
        <w:jc w:val="both"/>
      </w:pPr>
    </w:p>
    <w:p w14:paraId="4565404D" w14:textId="36D94574" w:rsidR="0011226F" w:rsidRDefault="0011226F" w:rsidP="0011226F">
      <w:pPr>
        <w:jc w:val="both"/>
      </w:pPr>
      <w:r>
        <w:t xml:space="preserve">The following </w:t>
      </w:r>
      <w:r w:rsidR="008028C1">
        <w:t>MQF</w:t>
      </w:r>
      <w:r w:rsidR="00194602" w:rsidRPr="00194602">
        <w:t>s</w:t>
      </w:r>
      <w:r>
        <w:t xml:space="preserve"> </w:t>
      </w:r>
      <w:r w:rsidR="008F264A">
        <w:t>are</w:t>
      </w:r>
      <w:r>
        <w:t xml:space="preserve"> unacceptable:</w:t>
      </w:r>
    </w:p>
    <w:p w14:paraId="58609460" w14:textId="77777777" w:rsidR="0011226F" w:rsidRDefault="0011226F" w:rsidP="0011226F">
      <w:pPr>
        <w:ind w:left="720" w:hanging="720"/>
        <w:jc w:val="both"/>
      </w:pPr>
      <w:r>
        <w:t>(A)</w:t>
      </w:r>
      <w:r>
        <w:tab/>
        <w:t>Frozen material,</w:t>
      </w:r>
    </w:p>
    <w:p w14:paraId="1E2C85B6" w14:textId="4D86406C" w:rsidR="0011226F" w:rsidRDefault="0011226F" w:rsidP="0011226F">
      <w:pPr>
        <w:ind w:left="720" w:hanging="720"/>
        <w:jc w:val="both"/>
      </w:pPr>
      <w:r>
        <w:t>(</w:t>
      </w:r>
      <w:r w:rsidR="003D6A21">
        <w:t>B</w:t>
      </w:r>
      <w:r>
        <w:t>)</w:t>
      </w:r>
      <w:r>
        <w:tab/>
        <w:t xml:space="preserve">Material with a maximum dry unit weight of </w:t>
      </w:r>
      <w:r w:rsidR="008F264A">
        <w:t xml:space="preserve">less than </w:t>
      </w:r>
      <w:r w:rsidR="00194602">
        <w:t>90</w:t>
      </w:r>
      <w:r>
        <w:t xml:space="preserve"> pounds per cubic foot when tested in accordance with AASHTO T-99 Method A or C.</w:t>
      </w:r>
    </w:p>
    <w:p w14:paraId="2D1264E5" w14:textId="3EE8BBD1" w:rsidR="0011226F" w:rsidRDefault="00E56740" w:rsidP="00B11B61">
      <w:pPr>
        <w:ind w:left="720" w:hanging="720"/>
        <w:jc w:val="both"/>
      </w:pPr>
      <w:r w:rsidRPr="00E56740">
        <w:t>(</w:t>
      </w:r>
      <w:r>
        <w:t>C</w:t>
      </w:r>
      <w:r w:rsidRPr="00E56740">
        <w:t>)</w:t>
      </w:r>
      <w:r w:rsidRPr="00E56740">
        <w:tab/>
      </w:r>
      <w:r w:rsidR="00033AC2">
        <w:t xml:space="preserve">Material with </w:t>
      </w:r>
      <w:r w:rsidR="00854935">
        <w:t xml:space="preserve">greater than 80% by weight </w:t>
      </w:r>
      <w:r>
        <w:t xml:space="preserve">Passing </w:t>
      </w:r>
      <w:r w:rsidR="00854935">
        <w:t>the #</w:t>
      </w:r>
      <w:r>
        <w:t xml:space="preserve">200 </w:t>
      </w:r>
      <w:r w:rsidR="00854935">
        <w:t>sieve</w:t>
      </w:r>
    </w:p>
    <w:p w14:paraId="4B024563" w14:textId="77777777" w:rsidR="00E56740" w:rsidRDefault="00E56740" w:rsidP="00414E94">
      <w:pPr>
        <w:jc w:val="both"/>
      </w:pPr>
    </w:p>
    <w:p w14:paraId="2B2ADDF4" w14:textId="7B20BB93" w:rsidR="00941376" w:rsidRDefault="0011226F" w:rsidP="00941376">
      <w:pPr>
        <w:keepNext/>
        <w:keepLines/>
        <w:jc w:val="both"/>
        <w:rPr>
          <w:i/>
        </w:rPr>
      </w:pPr>
      <w:r>
        <w:t xml:space="preserve">Collect and transport </w:t>
      </w:r>
      <w:r w:rsidR="008028C1">
        <w:t>MQF</w:t>
      </w:r>
      <w:r>
        <w:t xml:space="preserve">s in a manner that will prevent nuisances and hazards to public health and safety.  Moisture condition the </w:t>
      </w:r>
      <w:r w:rsidR="008028C1">
        <w:t>MQF</w:t>
      </w:r>
      <w:r>
        <w:t xml:space="preserve">s as needed and transport in covered trucks to prevent dusting. </w:t>
      </w:r>
      <w:r w:rsidR="00401E53">
        <w:t xml:space="preserve">If </w:t>
      </w:r>
      <w:r w:rsidR="008028C1">
        <w:t>MQF</w:t>
      </w:r>
      <w:r w:rsidR="00401E53">
        <w:t xml:space="preserve">s are blended with natural earth material, follow Borrow Criteria </w:t>
      </w:r>
      <w:r w:rsidR="00475F48">
        <w:t xml:space="preserve">in Section 1018 of the </w:t>
      </w:r>
      <w:r w:rsidR="00475F48" w:rsidRPr="00475F48">
        <w:rPr>
          <w:i/>
        </w:rPr>
        <w:t>Standard Specifications</w:t>
      </w:r>
      <w:r w:rsidR="00475F48">
        <w:rPr>
          <w:i/>
        </w:rPr>
        <w:t>.</w:t>
      </w:r>
    </w:p>
    <w:p w14:paraId="473AD30F" w14:textId="77777777" w:rsidR="00407766" w:rsidRDefault="00407766" w:rsidP="00941376">
      <w:pPr>
        <w:keepNext/>
        <w:keepLines/>
        <w:jc w:val="both"/>
      </w:pPr>
    </w:p>
    <w:p w14:paraId="0CEA98C5" w14:textId="2691AC37" w:rsidR="00941376" w:rsidRPr="00E01C51" w:rsidRDefault="00941376" w:rsidP="00941376">
      <w:pPr>
        <w:keepNext/>
        <w:keepLines/>
        <w:jc w:val="both"/>
        <w:rPr>
          <w:b/>
          <w:color w:val="auto"/>
          <w:szCs w:val="24"/>
        </w:rPr>
      </w:pPr>
      <w:r w:rsidRPr="00E01C51">
        <w:rPr>
          <w:b/>
          <w:color w:val="auto"/>
          <w:szCs w:val="24"/>
        </w:rPr>
        <w:t>Preconstruction Requirements</w:t>
      </w:r>
    </w:p>
    <w:p w14:paraId="1EF386EC" w14:textId="77777777" w:rsidR="00941376" w:rsidRPr="00E01C51" w:rsidRDefault="00941376" w:rsidP="00941376">
      <w:pPr>
        <w:keepNext/>
        <w:keepLines/>
        <w:jc w:val="both"/>
        <w:rPr>
          <w:b/>
          <w:color w:val="auto"/>
          <w:szCs w:val="24"/>
        </w:rPr>
      </w:pPr>
    </w:p>
    <w:p w14:paraId="7F8BDEE7" w14:textId="2A78DF97" w:rsidR="00941376" w:rsidRDefault="00941376" w:rsidP="00941376">
      <w:pPr>
        <w:jc w:val="both"/>
      </w:pPr>
      <w:r>
        <w:t xml:space="preserve">When </w:t>
      </w:r>
      <w:r w:rsidR="008028C1">
        <w:t>MQF</w:t>
      </w:r>
      <w:r>
        <w:t>s are to be used as a substitute for earth borrow material,</w:t>
      </w:r>
      <w:r w:rsidRPr="00280300">
        <w:t xml:space="preserve"> </w:t>
      </w:r>
      <w:r>
        <w:t xml:space="preserve">request written approval from the Engineer at least ninety (90) days in advance of the intent to use </w:t>
      </w:r>
      <w:r w:rsidR="008028C1">
        <w:t>MQF</w:t>
      </w:r>
      <w:r>
        <w:t>s and include the following details:</w:t>
      </w:r>
    </w:p>
    <w:p w14:paraId="33F33596" w14:textId="77777777" w:rsidR="00941376" w:rsidRDefault="00941376" w:rsidP="00941376">
      <w:pPr>
        <w:jc w:val="both"/>
      </w:pPr>
    </w:p>
    <w:p w14:paraId="145B841A" w14:textId="77777777" w:rsidR="00941376" w:rsidRDefault="00941376" w:rsidP="00941376">
      <w:pPr>
        <w:ind w:left="720" w:hanging="720"/>
        <w:jc w:val="both"/>
      </w:pPr>
      <w:r>
        <w:t>(A)</w:t>
      </w:r>
      <w:r>
        <w:tab/>
        <w:t>Description, purpose and location of project.</w:t>
      </w:r>
    </w:p>
    <w:p w14:paraId="15E78D4C" w14:textId="77777777" w:rsidR="00941376" w:rsidRDefault="00941376" w:rsidP="00941376">
      <w:pPr>
        <w:ind w:left="720" w:hanging="720"/>
        <w:jc w:val="both"/>
      </w:pPr>
      <w:r>
        <w:t>(B)</w:t>
      </w:r>
      <w:r>
        <w:tab/>
        <w:t>Estimated start and completion dates of project.</w:t>
      </w:r>
    </w:p>
    <w:p w14:paraId="63207F9F" w14:textId="7A2672E7" w:rsidR="00941376" w:rsidRDefault="00941376" w:rsidP="00941376">
      <w:pPr>
        <w:ind w:left="720" w:hanging="720"/>
        <w:jc w:val="both"/>
      </w:pPr>
      <w:r w:rsidRPr="00E01C51">
        <w:t>(</w:t>
      </w:r>
      <w:r>
        <w:t>C</w:t>
      </w:r>
      <w:r w:rsidRPr="00E01C51">
        <w:t>)</w:t>
      </w:r>
      <w:r w:rsidRPr="00E01C51">
        <w:tab/>
      </w:r>
      <w:r>
        <w:t xml:space="preserve">Estimated volume of </w:t>
      </w:r>
      <w:r w:rsidR="008028C1">
        <w:t>MQF</w:t>
      </w:r>
      <w:r>
        <w:t>s to be used on project with specific locations and construction details of the placement.</w:t>
      </w:r>
    </w:p>
    <w:p w14:paraId="70CCED5F" w14:textId="301310F7" w:rsidR="00941376" w:rsidRDefault="00941376" w:rsidP="00941376">
      <w:pPr>
        <w:jc w:val="both"/>
      </w:pPr>
      <w:r>
        <w:t>(</w:t>
      </w:r>
      <w:r w:rsidR="00552794">
        <w:t>D</w:t>
      </w:r>
      <w:r>
        <w:t>)</w:t>
      </w:r>
      <w:r>
        <w:tab/>
        <w:t xml:space="preserve">The names, address, and contact information for the generator of the </w:t>
      </w:r>
      <w:r w:rsidR="008028C1">
        <w:t>MQF</w:t>
      </w:r>
      <w:r>
        <w:t>s.</w:t>
      </w:r>
    </w:p>
    <w:p w14:paraId="35B56D80" w14:textId="667E8FBF" w:rsidR="0011226F" w:rsidRDefault="00941376" w:rsidP="00941376">
      <w:pPr>
        <w:jc w:val="both"/>
      </w:pPr>
      <w:r>
        <w:t>(</w:t>
      </w:r>
      <w:r w:rsidR="00552794">
        <w:t>E</w:t>
      </w:r>
      <w:r>
        <w:t>)</w:t>
      </w:r>
      <w:r>
        <w:tab/>
        <w:t xml:space="preserve">Physical location of the site at which the </w:t>
      </w:r>
      <w:r w:rsidR="008028C1">
        <w:t>MQF</w:t>
      </w:r>
      <w:r>
        <w:t>s were generated.</w:t>
      </w:r>
    </w:p>
    <w:p w14:paraId="6D1FFA0B" w14:textId="77777777" w:rsidR="00941376" w:rsidRDefault="00941376" w:rsidP="00941376">
      <w:pPr>
        <w:jc w:val="both"/>
      </w:pPr>
    </w:p>
    <w:p w14:paraId="7EC860BE" w14:textId="3AF3DBF5" w:rsidR="00941376" w:rsidRDefault="00941376" w:rsidP="00941376">
      <w:pPr>
        <w:jc w:val="both"/>
      </w:pPr>
      <w:r>
        <w:t>The Engineer will forward this information to the State Materials Engineer for review and material approval.</w:t>
      </w:r>
    </w:p>
    <w:p w14:paraId="0C3685D8" w14:textId="77777777" w:rsidR="0011226F" w:rsidRDefault="0011226F" w:rsidP="0011226F">
      <w:pPr>
        <w:jc w:val="both"/>
        <w:rPr>
          <w:b/>
        </w:rPr>
      </w:pPr>
    </w:p>
    <w:p w14:paraId="006112F3" w14:textId="77777777" w:rsidR="00E01C51" w:rsidRPr="00CD4B2E" w:rsidRDefault="00E01C51" w:rsidP="00E01C51">
      <w:pPr>
        <w:keepNext/>
        <w:keepLines/>
        <w:jc w:val="both"/>
        <w:rPr>
          <w:b/>
          <w:color w:val="auto"/>
        </w:rPr>
      </w:pPr>
      <w:r w:rsidRPr="00CD4B2E">
        <w:rPr>
          <w:b/>
          <w:color w:val="auto"/>
        </w:rPr>
        <w:lastRenderedPageBreak/>
        <w:t>Construction Methods</w:t>
      </w:r>
    </w:p>
    <w:p w14:paraId="2720A91B" w14:textId="77777777" w:rsidR="00E01C51" w:rsidRPr="00CD4B2E" w:rsidRDefault="00E01C51" w:rsidP="00E01C51">
      <w:pPr>
        <w:keepNext/>
        <w:keepLines/>
        <w:jc w:val="both"/>
        <w:rPr>
          <w:color w:val="auto"/>
        </w:rPr>
      </w:pPr>
    </w:p>
    <w:p w14:paraId="00AED5E5" w14:textId="30A001B8" w:rsidR="002A6BB3" w:rsidRPr="00C66DBD" w:rsidRDefault="00382628" w:rsidP="00B03F26">
      <w:pPr>
        <w:jc w:val="both"/>
        <w:rPr>
          <w:strike/>
        </w:rPr>
      </w:pPr>
      <w:r>
        <w:t>P</w:t>
      </w:r>
      <w:r w:rsidR="00B661B7">
        <w:t xml:space="preserve">lace </w:t>
      </w:r>
      <w:r w:rsidR="008028C1">
        <w:t>MQF</w:t>
      </w:r>
      <w:r w:rsidR="002A6BB3">
        <w:t>s</w:t>
      </w:r>
      <w:r w:rsidR="00FC41C2">
        <w:t xml:space="preserve"> </w:t>
      </w:r>
      <w:r w:rsidR="00B661B7">
        <w:t>in the core of the embankment section with a</w:t>
      </w:r>
      <w:r w:rsidR="00130C42">
        <w:t xml:space="preserve">t least </w:t>
      </w:r>
      <w:r w:rsidR="00B661B7">
        <w:t>4 feet of earth cover to the outside limits of the embankments or subgrade</w:t>
      </w:r>
      <w:r w:rsidR="00C66DBD">
        <w:t>.</w:t>
      </w:r>
      <w:r w:rsidR="00B661B7">
        <w:t xml:space="preserve"> </w:t>
      </w:r>
    </w:p>
    <w:p w14:paraId="4E5062D2" w14:textId="77777777" w:rsidR="00B661B7" w:rsidRDefault="00B661B7">
      <w:pPr>
        <w:jc w:val="both"/>
      </w:pPr>
    </w:p>
    <w:p w14:paraId="7CEBE7B5" w14:textId="14F1FEC1" w:rsidR="001D3124" w:rsidRDefault="00B661B7" w:rsidP="003545F2">
      <w:pPr>
        <w:jc w:val="both"/>
      </w:pPr>
      <w:r>
        <w:t xml:space="preserve">Construct embankments by placing </w:t>
      </w:r>
      <w:r w:rsidR="008028C1">
        <w:t>MQF</w:t>
      </w:r>
      <w:r w:rsidR="00974EB1">
        <w:t>s</w:t>
      </w:r>
      <w:r>
        <w:t xml:space="preserve"> in level uniform lifts with </w:t>
      </w:r>
      <w:r w:rsidR="00130C42">
        <w:t xml:space="preserve">no </w:t>
      </w:r>
      <w:r w:rsidR="00516407">
        <w:t xml:space="preserve">more </w:t>
      </w:r>
      <w:r w:rsidR="00130C42">
        <w:t xml:space="preserve">than a </w:t>
      </w:r>
      <w:r>
        <w:t>lift of 10</w:t>
      </w:r>
      <w:r w:rsidR="00552794">
        <w:t xml:space="preserve"> </w:t>
      </w:r>
      <w:r>
        <w:t xml:space="preserve">inches </w:t>
      </w:r>
      <w:r w:rsidR="00516407">
        <w:t xml:space="preserve">and </w:t>
      </w:r>
      <w:r>
        <w:t>compacted to a</w:t>
      </w:r>
      <w:r w:rsidR="00130C42">
        <w:t>t least a</w:t>
      </w:r>
      <w:r>
        <w:t xml:space="preserve"> density of 95 percent as determined by test methods in AASHTO T-99, Determination of Maximum </w:t>
      </w:r>
      <w:r w:rsidR="007575E8">
        <w:t xml:space="preserve">Dry </w:t>
      </w:r>
      <w:r>
        <w:t xml:space="preserve">Density and Optimum Moisture Content, Method A or C depending upon particle size of the product.  Provide </w:t>
      </w:r>
      <w:r w:rsidR="00663DCF">
        <w:t>a moisture</w:t>
      </w:r>
      <w:r>
        <w:t xml:space="preserve"> content at the time of compaction of within 4 percent of optimum but not greater than </w:t>
      </w:r>
      <w:r w:rsidR="008F264A">
        <w:t xml:space="preserve">one </w:t>
      </w:r>
      <w:r>
        <w:t>percent above optimum as determined by AASHTO T-99, Method A or C.</w:t>
      </w:r>
    </w:p>
    <w:p w14:paraId="0124F2C2" w14:textId="77777777" w:rsidR="0083793F" w:rsidRDefault="0083793F">
      <w:pPr>
        <w:jc w:val="both"/>
      </w:pPr>
    </w:p>
    <w:p w14:paraId="6D4F47EA" w14:textId="0D4E22B6" w:rsidR="00777F12" w:rsidRDefault="00FC3E83" w:rsidP="00407766">
      <w:pPr>
        <w:widowControl w:val="0"/>
        <w:jc w:val="both"/>
      </w:pPr>
      <w:r>
        <w:t xml:space="preserve">In </w:t>
      </w:r>
      <w:r w:rsidR="00B03F26">
        <w:t>embankment</w:t>
      </w:r>
      <w:r>
        <w:t>s</w:t>
      </w:r>
      <w:r w:rsidR="00B03F26">
        <w:t xml:space="preserve"> where </w:t>
      </w:r>
      <w:r w:rsidR="008028C1">
        <w:t>MQF</w:t>
      </w:r>
      <w:r w:rsidR="00B03F26">
        <w:t xml:space="preserve">s are incorporated, </w:t>
      </w:r>
      <w:r w:rsidR="00340341">
        <w:t xml:space="preserve">geotextile </w:t>
      </w:r>
      <w:r w:rsidR="00B03F26">
        <w:t xml:space="preserve">for </w:t>
      </w:r>
      <w:r w:rsidR="00340341">
        <w:t xml:space="preserve">subgrade stabilization </w:t>
      </w:r>
      <w:r w:rsidR="00B03F26">
        <w:t xml:space="preserve">shall be used. </w:t>
      </w:r>
      <w:r w:rsidR="00455960">
        <w:t xml:space="preserve">Refer to Article 505-2 of the </w:t>
      </w:r>
      <w:r w:rsidR="00455960" w:rsidRPr="003433E3">
        <w:rPr>
          <w:i/>
          <w:iCs/>
        </w:rPr>
        <w:t>Standard Specifications</w:t>
      </w:r>
      <w:r w:rsidR="00401E53">
        <w:t xml:space="preserve"> for geotextile type and </w:t>
      </w:r>
      <w:r w:rsidR="00455960">
        <w:t xml:space="preserve">Article 505-3 of the </w:t>
      </w:r>
      <w:r w:rsidR="00455960" w:rsidRPr="003433E3">
        <w:rPr>
          <w:i/>
          <w:iCs/>
        </w:rPr>
        <w:t>Standard Specifications</w:t>
      </w:r>
      <w:r w:rsidR="00455960">
        <w:t xml:space="preserve"> for the </w:t>
      </w:r>
      <w:r>
        <w:t xml:space="preserve">geotextile </w:t>
      </w:r>
      <w:r w:rsidR="00401E53">
        <w:t>construction method</w:t>
      </w:r>
      <w:r w:rsidR="00455960">
        <w:t>s</w:t>
      </w:r>
      <w:r w:rsidR="00401E53">
        <w:t>.</w:t>
      </w:r>
      <w:r w:rsidR="00025BB5">
        <w:t xml:space="preserve"> </w:t>
      </w:r>
    </w:p>
    <w:p w14:paraId="3CC17DD4" w14:textId="77777777" w:rsidR="00407766" w:rsidRPr="00025BB5" w:rsidRDefault="00407766" w:rsidP="00407766">
      <w:pPr>
        <w:widowControl w:val="0"/>
        <w:jc w:val="both"/>
        <w:rPr>
          <w:szCs w:val="24"/>
          <w:highlight w:val="yellow"/>
        </w:rPr>
      </w:pPr>
    </w:p>
    <w:p w14:paraId="271BB465" w14:textId="77777777" w:rsidR="00E01C51" w:rsidRPr="00CD4B2E" w:rsidRDefault="00E01C51" w:rsidP="00E01C51">
      <w:pPr>
        <w:keepNext/>
        <w:keepLines/>
        <w:jc w:val="both"/>
        <w:rPr>
          <w:b/>
          <w:color w:val="auto"/>
        </w:rPr>
      </w:pPr>
      <w:r w:rsidRPr="00CD4B2E">
        <w:rPr>
          <w:b/>
          <w:color w:val="auto"/>
        </w:rPr>
        <w:t>Measurement and Payment</w:t>
      </w:r>
    </w:p>
    <w:p w14:paraId="6CE43CB6" w14:textId="77777777" w:rsidR="00E01C51" w:rsidRPr="00CD4B2E" w:rsidRDefault="00E01C51" w:rsidP="00E01C51">
      <w:pPr>
        <w:keepNext/>
        <w:keepLines/>
        <w:jc w:val="both"/>
        <w:rPr>
          <w:i/>
          <w:color w:val="auto"/>
        </w:rPr>
      </w:pPr>
    </w:p>
    <w:p w14:paraId="0AFA10E6" w14:textId="1E597517" w:rsidR="00B661B7" w:rsidRDefault="00B661B7" w:rsidP="001F7FBA">
      <w:pPr>
        <w:keepNext/>
        <w:keepLines/>
        <w:jc w:val="both"/>
      </w:pPr>
      <w:r>
        <w:rPr>
          <w:i/>
        </w:rPr>
        <w:t>Borrow Excavation</w:t>
      </w:r>
      <w:r>
        <w:t xml:space="preserve"> will be </w:t>
      </w:r>
      <w:r w:rsidR="00453E4C">
        <w:t xml:space="preserve">measured </w:t>
      </w:r>
      <w:r>
        <w:t xml:space="preserve">by truck volume and paid in cubic yards in accordance with Article 230-5 of the </w:t>
      </w:r>
      <w:r>
        <w:rPr>
          <w:i/>
        </w:rPr>
        <w:t>Standard Specifications</w:t>
      </w:r>
      <w:r>
        <w:t>.</w:t>
      </w:r>
      <w:r w:rsidR="000316BE">
        <w:t xml:space="preserve"> As an alternate weigh tickets can be provided and payment made by converting weight to cubic yards based on the verifiable unit weight.</w:t>
      </w:r>
      <w:r w:rsidR="003943FB">
        <w:t xml:space="preserve">  Where the pay item for </w:t>
      </w:r>
      <w:r w:rsidR="003943FB" w:rsidRPr="003943FB">
        <w:rPr>
          <w:i/>
          <w:iCs/>
        </w:rPr>
        <w:t>Borrow Excavation</w:t>
      </w:r>
      <w:r w:rsidR="003943FB">
        <w:t xml:space="preserve"> is not included in the original contract then no separate payment will be made for this item and payment will be included in the lump sum price bid for </w:t>
      </w:r>
      <w:r w:rsidR="003943FB" w:rsidRPr="003943FB">
        <w:rPr>
          <w:i/>
          <w:iCs/>
        </w:rPr>
        <w:t>Grading</w:t>
      </w:r>
      <w:r w:rsidR="003943FB">
        <w:t>.</w:t>
      </w:r>
      <w:r w:rsidR="000316BE">
        <w:t xml:space="preserve"> </w:t>
      </w:r>
    </w:p>
    <w:p w14:paraId="7A202635" w14:textId="77777777" w:rsidR="00407766" w:rsidRDefault="00407766" w:rsidP="00407766">
      <w:pPr>
        <w:widowControl w:val="0"/>
        <w:jc w:val="both"/>
        <w:rPr>
          <w:szCs w:val="24"/>
        </w:rPr>
      </w:pPr>
    </w:p>
    <w:p w14:paraId="5C8EB6EE" w14:textId="640A2959" w:rsidR="00407766" w:rsidRDefault="00912005" w:rsidP="00407766">
      <w:pPr>
        <w:widowControl w:val="0"/>
        <w:jc w:val="both"/>
        <w:rPr>
          <w:szCs w:val="24"/>
        </w:rPr>
      </w:pPr>
      <w:r w:rsidRPr="006833EC">
        <w:rPr>
          <w:i/>
          <w:szCs w:val="24"/>
        </w:rPr>
        <w:t xml:space="preserve">Geotextile for </w:t>
      </w:r>
      <w:r>
        <w:rPr>
          <w:i/>
          <w:szCs w:val="24"/>
        </w:rPr>
        <w:t>Subgrade</w:t>
      </w:r>
      <w:r w:rsidRPr="006833EC">
        <w:rPr>
          <w:i/>
          <w:szCs w:val="24"/>
        </w:rPr>
        <w:t xml:space="preserve"> Stabilization</w:t>
      </w:r>
      <w:r>
        <w:rPr>
          <w:szCs w:val="24"/>
        </w:rPr>
        <w:t xml:space="preserve"> will be measured and paid in accordance with </w:t>
      </w:r>
      <w:r>
        <w:t>Article 505-4</w:t>
      </w:r>
      <w:r w:rsidR="00551F21">
        <w:t xml:space="preserve"> of the </w:t>
      </w:r>
      <w:r w:rsidR="00551F21">
        <w:rPr>
          <w:i/>
        </w:rPr>
        <w:t>Standard Specifications</w:t>
      </w:r>
      <w:r w:rsidR="00777F12">
        <w:rPr>
          <w:szCs w:val="24"/>
        </w:rPr>
        <w:t xml:space="preserve">.  </w:t>
      </w:r>
      <w:r w:rsidR="00A37461">
        <w:rPr>
          <w:szCs w:val="24"/>
        </w:rPr>
        <w:t xml:space="preserve">When </w:t>
      </w:r>
      <w:r w:rsidR="000316BE">
        <w:rPr>
          <w:szCs w:val="24"/>
        </w:rPr>
        <w:t xml:space="preserve">the pay item </w:t>
      </w:r>
      <w:r w:rsidR="00A37461">
        <w:rPr>
          <w:szCs w:val="24"/>
        </w:rPr>
        <w:t>for</w:t>
      </w:r>
      <w:r w:rsidR="000316BE">
        <w:rPr>
          <w:szCs w:val="24"/>
        </w:rPr>
        <w:t xml:space="preserve"> </w:t>
      </w:r>
      <w:r w:rsidR="000316BE" w:rsidRPr="00025BB5">
        <w:rPr>
          <w:i/>
          <w:szCs w:val="24"/>
        </w:rPr>
        <w:t xml:space="preserve">Geotextile for </w:t>
      </w:r>
      <w:r w:rsidR="009A3645">
        <w:rPr>
          <w:i/>
          <w:szCs w:val="24"/>
        </w:rPr>
        <w:t>Subgrade</w:t>
      </w:r>
      <w:r w:rsidR="009A3645" w:rsidRPr="00025BB5">
        <w:rPr>
          <w:i/>
          <w:szCs w:val="24"/>
        </w:rPr>
        <w:t xml:space="preserve"> </w:t>
      </w:r>
      <w:r w:rsidR="000316BE" w:rsidRPr="00025BB5">
        <w:rPr>
          <w:i/>
          <w:szCs w:val="24"/>
        </w:rPr>
        <w:t>Stabilization</w:t>
      </w:r>
      <w:r w:rsidR="000316BE">
        <w:rPr>
          <w:szCs w:val="24"/>
        </w:rPr>
        <w:t xml:space="preserve"> is not included in the</w:t>
      </w:r>
      <w:r w:rsidR="00832913">
        <w:rPr>
          <w:szCs w:val="24"/>
        </w:rPr>
        <w:t xml:space="preserve"> original</w:t>
      </w:r>
      <w:r w:rsidR="000316BE">
        <w:rPr>
          <w:szCs w:val="24"/>
        </w:rPr>
        <w:t xml:space="preserve"> contract then no payment will be made for this item and will be considered incidental to the use of </w:t>
      </w:r>
      <w:r w:rsidR="008028C1">
        <w:rPr>
          <w:szCs w:val="24"/>
        </w:rPr>
        <w:t>MQF</w:t>
      </w:r>
      <w:r w:rsidR="000316BE">
        <w:rPr>
          <w:szCs w:val="24"/>
        </w:rPr>
        <w:t xml:space="preserve">s in embankment. </w:t>
      </w:r>
    </w:p>
    <w:p w14:paraId="73722762" w14:textId="49F9C159" w:rsidR="003545F2" w:rsidRDefault="003545F2" w:rsidP="003545F2">
      <w:pPr>
        <w:jc w:val="both"/>
      </w:pPr>
    </w:p>
    <w:sectPr w:rsidR="003545F2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FD72" w14:textId="77777777" w:rsidR="00484988" w:rsidRDefault="00484988" w:rsidP="00521CD9">
      <w:r>
        <w:separator/>
      </w:r>
    </w:p>
  </w:endnote>
  <w:endnote w:type="continuationSeparator" w:id="0">
    <w:p w14:paraId="164FAF1F" w14:textId="77777777" w:rsidR="00484988" w:rsidRDefault="00484988" w:rsidP="00521CD9">
      <w:r>
        <w:continuationSeparator/>
      </w:r>
    </w:p>
  </w:endnote>
  <w:endnote w:type="continuationNotice" w:id="1">
    <w:p w14:paraId="6DB6BE6A" w14:textId="77777777" w:rsidR="00484988" w:rsidRDefault="00484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1E4A" w14:textId="77777777" w:rsidR="00484988" w:rsidRDefault="00484988" w:rsidP="00521CD9">
      <w:r>
        <w:separator/>
      </w:r>
    </w:p>
  </w:footnote>
  <w:footnote w:type="continuationSeparator" w:id="0">
    <w:p w14:paraId="4C63958D" w14:textId="77777777" w:rsidR="00484988" w:rsidRDefault="00484988" w:rsidP="00521CD9">
      <w:r>
        <w:continuationSeparator/>
      </w:r>
    </w:p>
  </w:footnote>
  <w:footnote w:type="continuationNotice" w:id="1">
    <w:p w14:paraId="2ED14158" w14:textId="77777777" w:rsidR="00484988" w:rsidRDefault="00484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7A4"/>
    <w:multiLevelType w:val="hybridMultilevel"/>
    <w:tmpl w:val="60C6F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6562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510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200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F474EF"/>
    <w:multiLevelType w:val="hybridMultilevel"/>
    <w:tmpl w:val="7368E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8164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817E2B"/>
    <w:multiLevelType w:val="multilevel"/>
    <w:tmpl w:val="1A6C035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8E0649C"/>
    <w:multiLevelType w:val="hybridMultilevel"/>
    <w:tmpl w:val="471A3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F703CB"/>
    <w:multiLevelType w:val="hybridMultilevel"/>
    <w:tmpl w:val="12B03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675F43"/>
    <w:multiLevelType w:val="hybridMultilevel"/>
    <w:tmpl w:val="8F60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4A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4709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8461429">
    <w:abstractNumId w:val="12"/>
  </w:num>
  <w:num w:numId="2" w16cid:durableId="1724980515">
    <w:abstractNumId w:val="13"/>
  </w:num>
  <w:num w:numId="3" w16cid:durableId="213154684">
    <w:abstractNumId w:val="6"/>
  </w:num>
  <w:num w:numId="4" w16cid:durableId="990602583">
    <w:abstractNumId w:val="3"/>
  </w:num>
  <w:num w:numId="5" w16cid:durableId="1756436084">
    <w:abstractNumId w:val="2"/>
  </w:num>
  <w:num w:numId="6" w16cid:durableId="1624457154">
    <w:abstractNumId w:val="4"/>
  </w:num>
  <w:num w:numId="7" w16cid:durableId="1940288743">
    <w:abstractNumId w:val="10"/>
  </w:num>
  <w:num w:numId="8" w16cid:durableId="1834683916">
    <w:abstractNumId w:val="0"/>
  </w:num>
  <w:num w:numId="9" w16cid:durableId="83261543">
    <w:abstractNumId w:val="8"/>
  </w:num>
  <w:num w:numId="10" w16cid:durableId="706686245">
    <w:abstractNumId w:val="5"/>
  </w:num>
  <w:num w:numId="11" w16cid:durableId="360277607">
    <w:abstractNumId w:val="9"/>
  </w:num>
  <w:num w:numId="12" w16cid:durableId="1952542178">
    <w:abstractNumId w:val="1"/>
  </w:num>
  <w:num w:numId="13" w16cid:durableId="691959779">
    <w:abstractNumId w:val="11"/>
  </w:num>
  <w:num w:numId="14" w16cid:durableId="1051424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98"/>
    <w:rsid w:val="00006D8B"/>
    <w:rsid w:val="00025BB5"/>
    <w:rsid w:val="000316BE"/>
    <w:rsid w:val="00033AC2"/>
    <w:rsid w:val="00040DB0"/>
    <w:rsid w:val="0004175A"/>
    <w:rsid w:val="00050BF0"/>
    <w:rsid w:val="0005376D"/>
    <w:rsid w:val="00084863"/>
    <w:rsid w:val="000922FE"/>
    <w:rsid w:val="000A17E8"/>
    <w:rsid w:val="000B043D"/>
    <w:rsid w:val="000B53C0"/>
    <w:rsid w:val="000C19C3"/>
    <w:rsid w:val="000D6E26"/>
    <w:rsid w:val="000E5605"/>
    <w:rsid w:val="000E771C"/>
    <w:rsid w:val="00101EDD"/>
    <w:rsid w:val="00102D72"/>
    <w:rsid w:val="0011226F"/>
    <w:rsid w:val="0011277D"/>
    <w:rsid w:val="00130C42"/>
    <w:rsid w:val="0013694A"/>
    <w:rsid w:val="00151057"/>
    <w:rsid w:val="00165AF7"/>
    <w:rsid w:val="001679C7"/>
    <w:rsid w:val="0017336F"/>
    <w:rsid w:val="00194602"/>
    <w:rsid w:val="001C4363"/>
    <w:rsid w:val="001C604B"/>
    <w:rsid w:val="001D3124"/>
    <w:rsid w:val="001E7E7F"/>
    <w:rsid w:val="001F7FBA"/>
    <w:rsid w:val="002007B9"/>
    <w:rsid w:val="002026B5"/>
    <w:rsid w:val="00206736"/>
    <w:rsid w:val="0021124D"/>
    <w:rsid w:val="00217FB0"/>
    <w:rsid w:val="00221E70"/>
    <w:rsid w:val="0023376C"/>
    <w:rsid w:val="00280300"/>
    <w:rsid w:val="002A1BD0"/>
    <w:rsid w:val="002A1C48"/>
    <w:rsid w:val="002A6BB3"/>
    <w:rsid w:val="002A7E47"/>
    <w:rsid w:val="002B124D"/>
    <w:rsid w:val="002B2242"/>
    <w:rsid w:val="002C0097"/>
    <w:rsid w:val="002D54F5"/>
    <w:rsid w:val="002E1241"/>
    <w:rsid w:val="002E2959"/>
    <w:rsid w:val="002E4358"/>
    <w:rsid w:val="00302790"/>
    <w:rsid w:val="00310AE3"/>
    <w:rsid w:val="00310F77"/>
    <w:rsid w:val="00314F9D"/>
    <w:rsid w:val="00340341"/>
    <w:rsid w:val="003444E6"/>
    <w:rsid w:val="00351304"/>
    <w:rsid w:val="003545F2"/>
    <w:rsid w:val="0037111A"/>
    <w:rsid w:val="00382628"/>
    <w:rsid w:val="003943FB"/>
    <w:rsid w:val="003A5AFF"/>
    <w:rsid w:val="003B3245"/>
    <w:rsid w:val="003D6A21"/>
    <w:rsid w:val="003F2A56"/>
    <w:rsid w:val="00401E53"/>
    <w:rsid w:val="00403B90"/>
    <w:rsid w:val="00407766"/>
    <w:rsid w:val="00410832"/>
    <w:rsid w:val="00412C3F"/>
    <w:rsid w:val="00414E94"/>
    <w:rsid w:val="00453E4C"/>
    <w:rsid w:val="00455960"/>
    <w:rsid w:val="00457B45"/>
    <w:rsid w:val="00463C2F"/>
    <w:rsid w:val="00472C12"/>
    <w:rsid w:val="00475F48"/>
    <w:rsid w:val="00476A10"/>
    <w:rsid w:val="004772FD"/>
    <w:rsid w:val="00483823"/>
    <w:rsid w:val="00484988"/>
    <w:rsid w:val="004B218C"/>
    <w:rsid w:val="004B2889"/>
    <w:rsid w:val="004B4766"/>
    <w:rsid w:val="004B5F27"/>
    <w:rsid w:val="004C1995"/>
    <w:rsid w:val="004C2F50"/>
    <w:rsid w:val="004D3333"/>
    <w:rsid w:val="004E2976"/>
    <w:rsid w:val="004E5411"/>
    <w:rsid w:val="004F1661"/>
    <w:rsid w:val="00516407"/>
    <w:rsid w:val="00521CD9"/>
    <w:rsid w:val="00523CE7"/>
    <w:rsid w:val="0054253A"/>
    <w:rsid w:val="00551F21"/>
    <w:rsid w:val="00552794"/>
    <w:rsid w:val="005532C7"/>
    <w:rsid w:val="005610F8"/>
    <w:rsid w:val="00572080"/>
    <w:rsid w:val="005735E4"/>
    <w:rsid w:val="005B3941"/>
    <w:rsid w:val="005B6318"/>
    <w:rsid w:val="00645323"/>
    <w:rsid w:val="0066091A"/>
    <w:rsid w:val="00663DCF"/>
    <w:rsid w:val="006643FE"/>
    <w:rsid w:val="0068422D"/>
    <w:rsid w:val="006867AE"/>
    <w:rsid w:val="006917BD"/>
    <w:rsid w:val="00694D3B"/>
    <w:rsid w:val="006E4817"/>
    <w:rsid w:val="007018AD"/>
    <w:rsid w:val="0071356A"/>
    <w:rsid w:val="007203B2"/>
    <w:rsid w:val="00725205"/>
    <w:rsid w:val="007329E1"/>
    <w:rsid w:val="00746C71"/>
    <w:rsid w:val="00755699"/>
    <w:rsid w:val="007575E8"/>
    <w:rsid w:val="00777F12"/>
    <w:rsid w:val="007855B2"/>
    <w:rsid w:val="00785F28"/>
    <w:rsid w:val="00786873"/>
    <w:rsid w:val="00792B6F"/>
    <w:rsid w:val="0079360B"/>
    <w:rsid w:val="007A701A"/>
    <w:rsid w:val="007B1086"/>
    <w:rsid w:val="007B17AF"/>
    <w:rsid w:val="007B55E7"/>
    <w:rsid w:val="007C57EE"/>
    <w:rsid w:val="007D762C"/>
    <w:rsid w:val="007D7D54"/>
    <w:rsid w:val="008028C1"/>
    <w:rsid w:val="00807D39"/>
    <w:rsid w:val="008107F5"/>
    <w:rsid w:val="00823E8B"/>
    <w:rsid w:val="00832913"/>
    <w:rsid w:val="0083793F"/>
    <w:rsid w:val="008407FA"/>
    <w:rsid w:val="00842704"/>
    <w:rsid w:val="00844106"/>
    <w:rsid w:val="00851885"/>
    <w:rsid w:val="00854935"/>
    <w:rsid w:val="00855E65"/>
    <w:rsid w:val="008562A0"/>
    <w:rsid w:val="00866B5C"/>
    <w:rsid w:val="008744CF"/>
    <w:rsid w:val="00874F5F"/>
    <w:rsid w:val="0089280D"/>
    <w:rsid w:val="008979FF"/>
    <w:rsid w:val="008A18D2"/>
    <w:rsid w:val="008D6A1E"/>
    <w:rsid w:val="008F264A"/>
    <w:rsid w:val="008F62A1"/>
    <w:rsid w:val="00912005"/>
    <w:rsid w:val="00941376"/>
    <w:rsid w:val="00963FB4"/>
    <w:rsid w:val="00974EB1"/>
    <w:rsid w:val="00983E9B"/>
    <w:rsid w:val="00984CC5"/>
    <w:rsid w:val="0098716C"/>
    <w:rsid w:val="009A3645"/>
    <w:rsid w:val="009A6EB9"/>
    <w:rsid w:val="009C21BB"/>
    <w:rsid w:val="009D6488"/>
    <w:rsid w:val="009E1E66"/>
    <w:rsid w:val="00A01B0F"/>
    <w:rsid w:val="00A01E45"/>
    <w:rsid w:val="00A11849"/>
    <w:rsid w:val="00A17249"/>
    <w:rsid w:val="00A17863"/>
    <w:rsid w:val="00A2147E"/>
    <w:rsid w:val="00A26C98"/>
    <w:rsid w:val="00A37461"/>
    <w:rsid w:val="00A37916"/>
    <w:rsid w:val="00A401F1"/>
    <w:rsid w:val="00A42FC1"/>
    <w:rsid w:val="00A553F7"/>
    <w:rsid w:val="00A7122E"/>
    <w:rsid w:val="00A72665"/>
    <w:rsid w:val="00A74192"/>
    <w:rsid w:val="00AB5971"/>
    <w:rsid w:val="00AC6F15"/>
    <w:rsid w:val="00AD0DB5"/>
    <w:rsid w:val="00AD6CDB"/>
    <w:rsid w:val="00AE0ED4"/>
    <w:rsid w:val="00AF68C4"/>
    <w:rsid w:val="00B03F26"/>
    <w:rsid w:val="00B07317"/>
    <w:rsid w:val="00B11B61"/>
    <w:rsid w:val="00B141DA"/>
    <w:rsid w:val="00B14E0E"/>
    <w:rsid w:val="00B22386"/>
    <w:rsid w:val="00B34657"/>
    <w:rsid w:val="00B50727"/>
    <w:rsid w:val="00B5134A"/>
    <w:rsid w:val="00B65F08"/>
    <w:rsid w:val="00B661B7"/>
    <w:rsid w:val="00B83275"/>
    <w:rsid w:val="00BD6E2C"/>
    <w:rsid w:val="00BF0E24"/>
    <w:rsid w:val="00C13BFF"/>
    <w:rsid w:val="00C27C9D"/>
    <w:rsid w:val="00C34422"/>
    <w:rsid w:val="00C37222"/>
    <w:rsid w:val="00C560C2"/>
    <w:rsid w:val="00C66DBD"/>
    <w:rsid w:val="00C714D5"/>
    <w:rsid w:val="00C856BA"/>
    <w:rsid w:val="00C9654B"/>
    <w:rsid w:val="00CA10BC"/>
    <w:rsid w:val="00CB4126"/>
    <w:rsid w:val="00CB75CF"/>
    <w:rsid w:val="00CD4B2E"/>
    <w:rsid w:val="00CE3C99"/>
    <w:rsid w:val="00CF5278"/>
    <w:rsid w:val="00CF6FED"/>
    <w:rsid w:val="00CF72CE"/>
    <w:rsid w:val="00D05D22"/>
    <w:rsid w:val="00D06E6F"/>
    <w:rsid w:val="00D12A69"/>
    <w:rsid w:val="00D14AAC"/>
    <w:rsid w:val="00D1607E"/>
    <w:rsid w:val="00D211A4"/>
    <w:rsid w:val="00D25E99"/>
    <w:rsid w:val="00D345CB"/>
    <w:rsid w:val="00D601D5"/>
    <w:rsid w:val="00D71E58"/>
    <w:rsid w:val="00DA21A6"/>
    <w:rsid w:val="00E01C51"/>
    <w:rsid w:val="00E21862"/>
    <w:rsid w:val="00E25368"/>
    <w:rsid w:val="00E264C5"/>
    <w:rsid w:val="00E56740"/>
    <w:rsid w:val="00E81B11"/>
    <w:rsid w:val="00E86EE2"/>
    <w:rsid w:val="00E931B1"/>
    <w:rsid w:val="00E93287"/>
    <w:rsid w:val="00EA37A5"/>
    <w:rsid w:val="00EA42D1"/>
    <w:rsid w:val="00EC00E6"/>
    <w:rsid w:val="00EE625F"/>
    <w:rsid w:val="00EF5ADD"/>
    <w:rsid w:val="00F63D78"/>
    <w:rsid w:val="00F8336B"/>
    <w:rsid w:val="00F910C0"/>
    <w:rsid w:val="00FA1F69"/>
    <w:rsid w:val="00FA4337"/>
    <w:rsid w:val="00FB7098"/>
    <w:rsid w:val="00FC3E83"/>
    <w:rsid w:val="00FC41C2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E2A06"/>
  <w15:docId w15:val="{98E1029C-EA7A-47FA-B9AB-B5BE4F8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740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7D7D54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7D7D54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B7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D54"/>
    <w:pPr>
      <w:ind w:left="720"/>
      <w:contextualSpacing/>
    </w:pPr>
  </w:style>
  <w:style w:type="paragraph" w:styleId="Header">
    <w:name w:val="header"/>
    <w:basedOn w:val="Normal"/>
    <w:link w:val="HeaderChar"/>
    <w:rsid w:val="007D7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1CD9"/>
    <w:rPr>
      <w:color w:val="000000"/>
      <w:sz w:val="24"/>
    </w:rPr>
  </w:style>
  <w:style w:type="paragraph" w:styleId="Footer">
    <w:name w:val="footer"/>
    <w:basedOn w:val="Normal"/>
    <w:link w:val="FooterChar"/>
    <w:rsid w:val="007D7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1CD9"/>
    <w:rPr>
      <w:color w:val="000000"/>
      <w:sz w:val="24"/>
    </w:rPr>
  </w:style>
  <w:style w:type="character" w:styleId="Hyperlink">
    <w:name w:val="Hyperlink"/>
    <w:basedOn w:val="DefaultParagraphFont"/>
    <w:rsid w:val="007D7D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46C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C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6C7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46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C71"/>
    <w:rPr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rsid w:val="007D7D54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paragraph" w:styleId="Title">
    <w:name w:val="Title"/>
    <w:basedOn w:val="Normal"/>
    <w:link w:val="TitleChar"/>
    <w:qFormat/>
    <w:rsid w:val="007D7D54"/>
    <w:pPr>
      <w:jc w:val="center"/>
    </w:pPr>
    <w:rPr>
      <w:b/>
      <w:color w:val="auto"/>
      <w:u w:val="single"/>
    </w:rPr>
  </w:style>
  <w:style w:type="character" w:customStyle="1" w:styleId="TitleChar">
    <w:name w:val="Title Char"/>
    <w:basedOn w:val="DefaultParagraphFont"/>
    <w:link w:val="Title"/>
    <w:rsid w:val="007D7D54"/>
    <w:rPr>
      <w:b/>
      <w:sz w:val="24"/>
      <w:u w:val="single"/>
    </w:rPr>
  </w:style>
  <w:style w:type="paragraph" w:styleId="Subtitle">
    <w:name w:val="Subtitle"/>
    <w:basedOn w:val="Normal"/>
    <w:link w:val="SubtitleChar"/>
    <w:qFormat/>
    <w:rsid w:val="007D7D54"/>
    <w:rPr>
      <w:b/>
      <w:color w:val="auto"/>
    </w:rPr>
  </w:style>
  <w:style w:type="character" w:customStyle="1" w:styleId="SubtitleChar">
    <w:name w:val="Subtitle Char"/>
    <w:basedOn w:val="DefaultParagraphFont"/>
    <w:link w:val="Subtitle"/>
    <w:rsid w:val="007D7D54"/>
    <w:rPr>
      <w:b/>
      <w:sz w:val="24"/>
    </w:rPr>
  </w:style>
  <w:style w:type="character" w:customStyle="1" w:styleId="Heading1Char">
    <w:name w:val="Heading 1 Char"/>
    <w:basedOn w:val="DefaultParagraphFont"/>
    <w:link w:val="Heading1"/>
    <w:rsid w:val="007D7D54"/>
    <w:rPr>
      <w:b/>
      <w:color w:val="000000"/>
      <w:sz w:val="24"/>
    </w:rPr>
  </w:style>
  <w:style w:type="character" w:styleId="Strong">
    <w:name w:val="Strong"/>
    <w:basedOn w:val="DefaultParagraphFont"/>
    <w:qFormat/>
    <w:rsid w:val="007D7D54"/>
    <w:rPr>
      <w:b/>
      <w:bCs/>
    </w:rPr>
  </w:style>
  <w:style w:type="paragraph" w:customStyle="1" w:styleId="Header2">
    <w:name w:val="Header 2"/>
    <w:basedOn w:val="NoSpacing"/>
    <w:rsid w:val="007D7D54"/>
    <w:rPr>
      <w:b/>
      <w:color w:val="000000"/>
      <w:u w:val="single"/>
    </w:rPr>
  </w:style>
  <w:style w:type="paragraph" w:styleId="NoSpacing">
    <w:name w:val="No Spacing"/>
    <w:uiPriority w:val="1"/>
    <w:qFormat/>
    <w:rsid w:val="007D7D54"/>
    <w:rPr>
      <w:sz w:val="24"/>
    </w:rPr>
  </w:style>
  <w:style w:type="paragraph" w:styleId="Revision">
    <w:name w:val="Revision"/>
    <w:hidden/>
    <w:uiPriority w:val="99"/>
    <w:semiHidden/>
    <w:rsid w:val="009A364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MANUFACTURED QUARRY FINES IN EMBANKMENTS</Provision>
    <_dlc_DocId xmlns="16f00c2e-ac5c-418b-9f13-a0771dbd417d">CONNECT-1368027980-33</_dlc_DocId>
    <_dlc_DocIdUrl xmlns="16f00c2e-ac5c-418b-9f13-a0771dbd417d">
      <Url>https://connect.ncdot.gov/resources/Specifications/_layouts/15/DocIdRedir.aspx?ID=CONNECT-1368027980-33</Url>
      <Description>CONNECT-1368027980-33</Description>
    </_dlc_DocIdUrl>
    <No_x002e_ xmlns="5e7874b7-19b8-4222-9f87-80bf0b085ea3">SP02R</No_x002e_>
    <Geotech_x0020_Reference xmlns="5e7874b7-19b8-4222-9f87-80bf0b085ea3">false</Geotech_x0020_Reference>
    <Provision_x0020_Number xmlns="5e7874b7-19b8-4222-9f87-80bf0b085ea3">SP02 R072</Provision_x0020_Number>
    <Let_x0020_Date xmlns="5e7874b7-19b8-4222-9f87-80bf0b085ea3">2024-04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BB85CA9-1228-461E-B425-CFD036D9D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191F1-0A19-4563-9330-01C27A0A20F2}"/>
</file>

<file path=customXml/itemProps3.xml><?xml version="1.0" encoding="utf-8"?>
<ds:datastoreItem xmlns:ds="http://schemas.openxmlformats.org/officeDocument/2006/customXml" ds:itemID="{F21D932C-1248-4835-88F0-9CA6880A4399}"/>
</file>

<file path=customXml/itemProps4.xml><?xml version="1.0" encoding="utf-8"?>
<ds:datastoreItem xmlns:ds="http://schemas.openxmlformats.org/officeDocument/2006/customXml" ds:itemID="{EFA2619A-10E0-4EC9-9CE2-52C4E0B4C72C}"/>
</file>

<file path=customXml/itemProps5.xml><?xml version="1.0" encoding="utf-8"?>
<ds:datastoreItem xmlns:ds="http://schemas.openxmlformats.org/officeDocument/2006/customXml" ds:itemID="{952A7EE6-4D07-4121-A698-A04E9E168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FLY ASH IN EMBANKMENTS:     (4-16-02)  (Rev 4-15-08)</vt:lpstr>
    </vt:vector>
  </TitlesOfParts>
  <Company>NCDOT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dc:description>revised by Stan Harward 1-25-08 to update references</dc:description>
  <cp:lastModifiedBy>Penny, Lisa E</cp:lastModifiedBy>
  <cp:revision>4</cp:revision>
  <cp:lastPrinted>2015-01-27T16:48:00Z</cp:lastPrinted>
  <dcterms:created xsi:type="dcterms:W3CDTF">2024-03-01T16:09:00Z</dcterms:created>
  <dcterms:modified xsi:type="dcterms:W3CDTF">2024-03-01T16:13:00Z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07fb63c5-1ab1-4b48-b414-af7db7edb862</vt:lpwstr>
  </property>
  <property fmtid="{D5CDD505-2E9C-101B-9397-08002B2CF9AE}" pid="4" name="Order">
    <vt:r8>11200</vt:r8>
  </property>
</Properties>
</file>